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401D" w14:textId="77777777" w:rsidR="00FF6BFA" w:rsidRPr="00F13077" w:rsidRDefault="00FF6BFA" w:rsidP="00B70FDE">
      <w:pPr>
        <w:spacing w:after="0" w:line="360" w:lineRule="auto"/>
        <w:rPr>
          <w:rFonts w:ascii="Atkinson Hyperlegible" w:hAnsi="Atkinson Hyperlegible"/>
          <w:sz w:val="20"/>
          <w:szCs w:val="20"/>
        </w:rPr>
      </w:pPr>
    </w:p>
    <w:p w14:paraId="34D9401E" w14:textId="77777777" w:rsidR="00FF6BFA" w:rsidRPr="00F13077" w:rsidRDefault="00FF6BFA" w:rsidP="00B70FDE">
      <w:pPr>
        <w:spacing w:after="0" w:line="360" w:lineRule="auto"/>
        <w:rPr>
          <w:rFonts w:ascii="Atkinson Hyperlegible" w:hAnsi="Atkinson Hyperlegible"/>
          <w:sz w:val="20"/>
          <w:szCs w:val="20"/>
        </w:rPr>
      </w:pPr>
    </w:p>
    <w:p w14:paraId="34D9401F" w14:textId="77777777" w:rsidR="000D4C16" w:rsidRPr="00F13077" w:rsidRDefault="000D4C16" w:rsidP="00EE7A3D">
      <w:pPr>
        <w:spacing w:after="0"/>
        <w:rPr>
          <w:rFonts w:ascii="Atkinson Hyperlegible" w:hAnsi="Atkinson Hyperlegible"/>
          <w:sz w:val="12"/>
          <w:szCs w:val="12"/>
        </w:rPr>
      </w:pPr>
    </w:p>
    <w:p w14:paraId="0B659091" w14:textId="77777777" w:rsidR="00EE652E" w:rsidRDefault="00EE652E" w:rsidP="00EE65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tkinson Hyperlegible" w:hAnsi="Atkinson Hyperlegible"/>
          <w:color w:val="000000"/>
          <w:sz w:val="23"/>
          <w:szCs w:val="23"/>
        </w:rPr>
      </w:pPr>
    </w:p>
    <w:p w14:paraId="66137978" w14:textId="6A9FB166" w:rsidR="00EE652E" w:rsidRPr="009A2DA4" w:rsidRDefault="00EE652E" w:rsidP="009A2DA4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tkinson Hyperlegible" w:hAnsi="Atkinson Hyperlegible"/>
          <w:color w:val="000000"/>
          <w:sz w:val="23"/>
          <w:szCs w:val="23"/>
        </w:rPr>
      </w:pPr>
      <w:r w:rsidRPr="009A2DA4">
        <w:rPr>
          <w:rFonts w:ascii="Atkinson Hyperlegible" w:hAnsi="Atkinson Hyperlegible"/>
          <w:color w:val="000000"/>
          <w:sz w:val="23"/>
          <w:szCs w:val="23"/>
        </w:rPr>
        <w:t xml:space="preserve">El Consell de Govern del Consorci Institut d’Estudis Regionals i Metropolitans de Barcelona, en sessió celebrada el 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>21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 xml:space="preserve"> de 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>novembre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 xml:space="preserve"> de 202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>3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>, va acordar</w:t>
      </w:r>
    </w:p>
    <w:p w14:paraId="1427EE8D" w14:textId="70DCD100" w:rsidR="00EE652E" w:rsidRPr="009A2DA4" w:rsidRDefault="00EE652E" w:rsidP="009A2D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tkinson Hyperlegible" w:hAnsi="Atkinson Hyperlegible"/>
          <w:color w:val="000000"/>
          <w:sz w:val="23"/>
          <w:szCs w:val="23"/>
        </w:rPr>
      </w:pPr>
      <w:r w:rsidRPr="009A2DA4">
        <w:rPr>
          <w:rStyle w:val="Textennegreta"/>
          <w:rFonts w:ascii="Atkinson Hyperlegible" w:hAnsi="Atkinson Hyperlegible"/>
          <w:color w:val="000000"/>
          <w:sz w:val="23"/>
          <w:szCs w:val="23"/>
          <w:bdr w:val="none" w:sz="0" w:space="0" w:color="auto" w:frame="1"/>
        </w:rPr>
        <w:t>APROVAR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> inicialment la proposta de pressupost, de les seves bases d’execució del Consorci per a l’exercici 202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>4</w:t>
      </w:r>
      <w:r w:rsidRPr="009A2DA4">
        <w:rPr>
          <w:rFonts w:ascii="Atkinson Hyperlegible" w:hAnsi="Atkinson Hyperlegible"/>
          <w:color w:val="000000"/>
          <w:sz w:val="23"/>
          <w:szCs w:val="23"/>
        </w:rPr>
        <w:t>, d’acord amb la següent previsió d’estat d’ingressos i despeses:</w:t>
      </w:r>
    </w:p>
    <w:p w14:paraId="1C09719F" w14:textId="77777777" w:rsidR="00FF6BFA" w:rsidRPr="00F13077" w:rsidRDefault="00FF6BFA" w:rsidP="00EE7A3D">
      <w:pPr>
        <w:pStyle w:val="Pargrafdellista"/>
        <w:spacing w:after="0" w:line="276" w:lineRule="auto"/>
        <w:ind w:left="284" w:right="284"/>
        <w:contextualSpacing w:val="0"/>
        <w:jc w:val="both"/>
        <w:rPr>
          <w:rFonts w:ascii="Atkinson Hyperlegible" w:hAnsi="Atkinson Hyperlegible" w:cs="Arial"/>
          <w:sz w:val="20"/>
          <w:szCs w:val="20"/>
        </w:rPr>
      </w:pPr>
    </w:p>
    <w:tbl>
      <w:tblPr>
        <w:tblW w:w="4266" w:type="pct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4394"/>
        <w:gridCol w:w="1902"/>
      </w:tblGrid>
      <w:tr w:rsidR="00EF6A59" w:rsidRPr="00746801" w14:paraId="320A6241" w14:textId="77777777" w:rsidTr="00E03B57">
        <w:trPr>
          <w:gridAfter w:val="1"/>
          <w:wAfter w:w="1756" w:type="dxa"/>
          <w:trHeight w:hRule="exact" w:val="284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F1F7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eastAsia="ca-ES"/>
              </w:rPr>
              <w:t>PREVISIÓ ESTAT D'INGRESSOS:</w:t>
            </w:r>
          </w:p>
        </w:tc>
      </w:tr>
      <w:tr w:rsidR="00EF6A59" w:rsidRPr="00746801" w14:paraId="1738ABF0" w14:textId="77777777" w:rsidTr="00E03B57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311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9A4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9F2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5B03166D" w14:textId="77777777" w:rsidTr="00E03B57">
        <w:trPr>
          <w:trHeight w:hRule="exact" w:val="284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D38D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  <w:t>Capítol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BF5B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Descripció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FF11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Pressupost </w:t>
            </w:r>
          </w:p>
        </w:tc>
      </w:tr>
      <w:tr w:rsidR="00EF6A59" w:rsidRPr="00746801" w14:paraId="4B65DE17" w14:textId="77777777" w:rsidTr="00E03B57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38FA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9F71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9CF9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513657A2" w14:textId="77777777" w:rsidTr="00E03B57">
        <w:trPr>
          <w:trHeight w:hRule="exact"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E5D5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F2C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Taxes, preus públics i altres ingressos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02C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1.139.712,62</w:t>
            </w:r>
          </w:p>
          <w:p w14:paraId="6888551E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71CE7CA5" w14:textId="77777777" w:rsidTr="00E03B57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C5BC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75A5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 xml:space="preserve">Transferències corrents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532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3.292.944,16</w:t>
            </w:r>
          </w:p>
          <w:p w14:paraId="61A4293A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49536FA6" w14:textId="77777777" w:rsidTr="00E03B57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B955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C13A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Ingressos patrimonials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59F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30,00</w:t>
            </w:r>
          </w:p>
        </w:tc>
      </w:tr>
      <w:tr w:rsidR="00EF6A59" w:rsidRPr="00746801" w14:paraId="7BFD5796" w14:textId="77777777" w:rsidTr="00E03B57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19CF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043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1773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0C2B3AC6" w14:textId="77777777" w:rsidTr="00E03B57">
        <w:trPr>
          <w:trHeight w:hRule="exact" w:val="28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161A45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eastAsia="ca-ES"/>
              </w:rPr>
              <w:t>TOTAL PREVISIÓ ESTAT D'INGRESSOS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FA8E87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b/>
                <w:bCs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b/>
                <w:bCs/>
                <w:sz w:val="18"/>
                <w:szCs w:val="18"/>
              </w:rPr>
              <w:t>4.432.686,78</w:t>
            </w:r>
          </w:p>
          <w:p w14:paraId="323A9322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eastAsia="ca-ES"/>
              </w:rPr>
            </w:pPr>
          </w:p>
        </w:tc>
      </w:tr>
      <w:tr w:rsidR="00EF6A59" w:rsidRPr="00746801" w14:paraId="542826C3" w14:textId="77777777" w:rsidTr="00E03B57">
        <w:trPr>
          <w:trHeight w:hRule="exact" w:val="28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72FA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D1BE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F50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49182DB4" w14:textId="77777777" w:rsidTr="00E03B57">
        <w:trPr>
          <w:gridAfter w:val="1"/>
          <w:wAfter w:w="1756" w:type="dxa"/>
          <w:trHeight w:hRule="exact" w:val="284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CBE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u w:val="single"/>
                <w:lang w:eastAsia="ca-ES"/>
              </w:rPr>
              <w:t>PREVISIÓ ESTAT DE DESPESES: Programa: 462.00</w:t>
            </w:r>
          </w:p>
        </w:tc>
      </w:tr>
      <w:tr w:rsidR="00EF6A59" w:rsidRPr="00746801" w14:paraId="22A9E4A0" w14:textId="77777777" w:rsidTr="00E03B57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3393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86F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F7B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34A8D61E" w14:textId="77777777" w:rsidTr="00E03B57">
        <w:trPr>
          <w:trHeight w:hRule="exact" w:val="284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9A2D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  <w:t>Capítol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833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Descripció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CEC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Pressupost </w:t>
            </w:r>
          </w:p>
        </w:tc>
      </w:tr>
      <w:tr w:rsidR="00EF6A59" w:rsidRPr="00746801" w14:paraId="71D2E3D0" w14:textId="77777777" w:rsidTr="00E03B57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0474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C1E4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02F3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3F0BB97E" w14:textId="77777777" w:rsidTr="00E03B57">
        <w:trPr>
          <w:trHeight w:hRule="exact"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3F7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744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Despeses de Personal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720E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3.180.065,07</w:t>
            </w:r>
          </w:p>
          <w:p w14:paraId="212261B9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5BDFEAAA" w14:textId="77777777" w:rsidTr="00E03B57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F4F5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4134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Despeses corrents de béns i serveis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ECD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1.239.291,71</w:t>
            </w:r>
          </w:p>
          <w:p w14:paraId="3610C26E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1.239.291,71</w:t>
            </w:r>
          </w:p>
          <w:p w14:paraId="3BFFB56D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759DACE5" w14:textId="77777777" w:rsidTr="00E03B57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451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B3B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Despeses financeres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4E2E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830,00</w:t>
            </w:r>
          </w:p>
          <w:p w14:paraId="0383E2BA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24C57361" w14:textId="77777777" w:rsidTr="00E03B57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74A" w14:textId="77777777" w:rsidR="00EF6A59" w:rsidRPr="00746801" w:rsidRDefault="00EF6A59" w:rsidP="00E03B57">
            <w:pPr>
              <w:spacing w:after="0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7384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ca-ES"/>
              </w:rPr>
              <w:t>Inversions reals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5C6D" w14:textId="77777777" w:rsidR="00EF6A59" w:rsidRPr="00746801" w:rsidRDefault="00EF6A59" w:rsidP="00E03B57">
            <w:pPr>
              <w:jc w:val="right"/>
              <w:rPr>
                <w:rFonts w:ascii="Atkinson Hyperlegible" w:hAnsi="Atkinson Hyperlegible" w:cs="Calibri"/>
                <w:sz w:val="18"/>
                <w:szCs w:val="18"/>
              </w:rPr>
            </w:pPr>
            <w:r w:rsidRPr="00746801">
              <w:rPr>
                <w:rFonts w:ascii="Atkinson Hyperlegible" w:hAnsi="Atkinson Hyperlegible" w:cs="Calibri"/>
                <w:sz w:val="18"/>
                <w:szCs w:val="18"/>
              </w:rPr>
              <w:t>12.500,00</w:t>
            </w:r>
          </w:p>
          <w:p w14:paraId="50ECBAC2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5E48321A" w14:textId="77777777" w:rsidTr="00E03B57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0DFB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D236F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3D94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sz w:val="18"/>
                <w:szCs w:val="18"/>
                <w:lang w:eastAsia="ca-ES"/>
              </w:rPr>
            </w:pPr>
          </w:p>
        </w:tc>
      </w:tr>
      <w:tr w:rsidR="00EF6A59" w:rsidRPr="00746801" w14:paraId="29468AAF" w14:textId="77777777" w:rsidTr="00E03B57">
        <w:trPr>
          <w:trHeight w:hRule="exact" w:val="28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B6F966" w14:textId="77777777" w:rsidR="00EF6A59" w:rsidRPr="00746801" w:rsidRDefault="00EF6A59" w:rsidP="00E03B57">
            <w:pPr>
              <w:spacing w:after="0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eastAsia="ca-ES"/>
              </w:rPr>
              <w:t>TOTAL PREVISIÓ ESTAT DE DESPESES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08A6B64" w14:textId="77777777" w:rsidR="00EF6A59" w:rsidRPr="00746801" w:rsidRDefault="00EF6A59" w:rsidP="00E03B57">
            <w:pPr>
              <w:spacing w:after="0"/>
              <w:jc w:val="right"/>
              <w:rPr>
                <w:rFonts w:ascii="Atkinson Hyperlegible" w:eastAsia="Times New Roman" w:hAnsi="Atkinson Hyperlegible" w:cs="Arial"/>
                <w:b/>
                <w:bCs/>
                <w:sz w:val="18"/>
                <w:szCs w:val="18"/>
                <w:lang w:eastAsia="ca-ES"/>
              </w:rPr>
            </w:pPr>
            <w:r w:rsidRPr="00746801">
              <w:rPr>
                <w:rFonts w:ascii="Atkinson Hyperlegible" w:hAnsi="Atkinson Hyperlegible" w:cs="Calibri"/>
                <w:b/>
                <w:bCs/>
                <w:sz w:val="18"/>
                <w:szCs w:val="18"/>
              </w:rPr>
              <w:t>4.432.686,78</w:t>
            </w:r>
          </w:p>
        </w:tc>
      </w:tr>
    </w:tbl>
    <w:p w14:paraId="37AAB5E0" w14:textId="77777777" w:rsidR="00FF6BFA" w:rsidRDefault="00FF6BFA" w:rsidP="00EE7A3D">
      <w:pPr>
        <w:pStyle w:val="Pargrafdellista"/>
        <w:spacing w:after="0" w:line="276" w:lineRule="auto"/>
        <w:ind w:left="284" w:right="284"/>
        <w:contextualSpacing w:val="0"/>
        <w:jc w:val="both"/>
        <w:rPr>
          <w:rFonts w:ascii="Atkinson Hyperlegible" w:hAnsi="Atkinson Hyperlegible" w:cs="Arial"/>
          <w:sz w:val="20"/>
          <w:szCs w:val="20"/>
        </w:rPr>
      </w:pPr>
    </w:p>
    <w:p w14:paraId="4CA1DD35" w14:textId="027E6C2B" w:rsidR="002A42BC" w:rsidRPr="009A2DA4" w:rsidRDefault="002A42BC" w:rsidP="00EE7A3D">
      <w:pPr>
        <w:pStyle w:val="Pargrafdellista"/>
        <w:spacing w:after="0" w:line="276" w:lineRule="auto"/>
        <w:ind w:left="284" w:right="284"/>
        <w:contextualSpacing w:val="0"/>
        <w:jc w:val="both"/>
        <w:rPr>
          <w:rFonts w:ascii="Atkinson Hyperlegible" w:hAnsi="Atkinson Hyperlegible" w:cs="Arial"/>
          <w:sz w:val="20"/>
          <w:szCs w:val="20"/>
        </w:rPr>
      </w:pPr>
      <w:r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>L’anunci d’informació pública es va realitzar al Butlletí Oficial de la Província de Barcelona (BOPB) en data 2</w:t>
      </w:r>
      <w:r w:rsidR="00E00AAD"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>9</w:t>
      </w:r>
      <w:r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 xml:space="preserve"> d</w:t>
      </w:r>
      <w:r w:rsidR="00E00AAD"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>e novembre</w:t>
      </w:r>
      <w:r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 xml:space="preserve"> de 202</w:t>
      </w:r>
      <w:r w:rsidR="00E00AAD"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>3</w:t>
      </w:r>
      <w:r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 xml:space="preserve">, i, per tant, el dia </w:t>
      </w:r>
      <w:r w:rsidR="00E00AAD"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>22</w:t>
      </w:r>
      <w:r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 xml:space="preserve"> de </w:t>
      </w:r>
      <w:r w:rsidR="00E00AAD"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>desembre</w:t>
      </w:r>
      <w:r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 xml:space="preserve"> de 202</w:t>
      </w:r>
      <w:r w:rsidR="00E00AAD"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>3</w:t>
      </w:r>
      <w:r w:rsidRPr="009A2DA4">
        <w:rPr>
          <w:rFonts w:ascii="Atkinson Hyperlegible" w:hAnsi="Atkinson Hyperlegible"/>
          <w:color w:val="000000"/>
          <w:sz w:val="23"/>
          <w:szCs w:val="23"/>
          <w:shd w:val="clear" w:color="auto" w:fill="FFFFFF"/>
        </w:rPr>
        <w:t xml:space="preserve"> han finalitzat els 15 dies hàbils establerts per llei sense haver rebut cap al·legació, reclamació i/o suggeriment al respecte, per la qual cosa l’acord d’aprovació inicial del pressupost i les bases d’execució pressupostària del Consorci esdevé definitiu.</w:t>
      </w:r>
    </w:p>
    <w:p w14:paraId="152AF7F7" w14:textId="77777777" w:rsidR="002A42BC" w:rsidRPr="00F13077" w:rsidRDefault="002A42BC" w:rsidP="00EE7A3D">
      <w:pPr>
        <w:pStyle w:val="Pargrafdellista"/>
        <w:spacing w:after="0" w:line="276" w:lineRule="auto"/>
        <w:ind w:left="284" w:right="284"/>
        <w:contextualSpacing w:val="0"/>
        <w:jc w:val="both"/>
        <w:rPr>
          <w:rFonts w:ascii="Atkinson Hyperlegible" w:hAnsi="Atkinson Hyperlegible" w:cs="Arial"/>
          <w:sz w:val="20"/>
          <w:szCs w:val="20"/>
        </w:rPr>
      </w:pPr>
    </w:p>
    <w:sectPr w:rsidR="002A42BC" w:rsidRPr="00F13077" w:rsidSect="00A05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B9C7" w14:textId="77777777" w:rsidR="00641FCC" w:rsidRDefault="00641FCC" w:rsidP="000D4C16">
      <w:pPr>
        <w:spacing w:after="0" w:line="240" w:lineRule="auto"/>
      </w:pPr>
      <w:r>
        <w:separator/>
      </w:r>
    </w:p>
  </w:endnote>
  <w:endnote w:type="continuationSeparator" w:id="0">
    <w:p w14:paraId="4A749552" w14:textId="77777777" w:rsidR="00641FCC" w:rsidRDefault="00641FCC" w:rsidP="000D4C16">
      <w:pPr>
        <w:spacing w:after="0" w:line="240" w:lineRule="auto"/>
      </w:pPr>
      <w:r>
        <w:continuationSeparator/>
      </w:r>
    </w:p>
  </w:endnote>
  <w:endnote w:type="continuationNotice" w:id="1">
    <w:p w14:paraId="4A0F1E83" w14:textId="77777777" w:rsidR="005D3D45" w:rsidRDefault="005D3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035" w14:textId="77777777" w:rsidR="005D3D45" w:rsidRDefault="005D3D4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4088" w14:textId="77777777" w:rsidR="000D4C16" w:rsidRPr="005360BF" w:rsidRDefault="000D4C16" w:rsidP="000D4C16">
    <w:pPr>
      <w:spacing w:after="0" w:line="240" w:lineRule="auto"/>
      <w:jc w:val="center"/>
      <w:rPr>
        <w:noProof/>
        <w:color w:val="808080"/>
        <w:lang w:val="pt-PT"/>
      </w:rPr>
    </w:pPr>
    <w:r w:rsidRPr="005360BF">
      <w:rPr>
        <w:rFonts w:ascii="Bookman Old Style" w:hAnsi="Bookman Old Style"/>
        <w:noProof/>
        <w:color w:val="808080"/>
        <w:sz w:val="15"/>
        <w:szCs w:val="15"/>
        <w:lang w:val="pt-PT"/>
      </w:rPr>
      <w:t>Consorci Institut d'Estudis Regionals i Metropolitans de Barcelona</w:t>
    </w:r>
  </w:p>
  <w:p w14:paraId="34D94089" w14:textId="67C993C5" w:rsidR="000D4C16" w:rsidRPr="00483B03" w:rsidRDefault="000D4C16" w:rsidP="000D4C16">
    <w:pPr>
      <w:spacing w:after="0" w:line="240" w:lineRule="auto"/>
      <w:jc w:val="center"/>
      <w:rPr>
        <w:noProof/>
        <w:color w:val="808080"/>
      </w:rPr>
    </w:pPr>
    <w:r w:rsidRPr="00483B03">
      <w:rPr>
        <w:rFonts w:ascii="Bookman Old Style" w:hAnsi="Bookman Old Style"/>
        <w:noProof/>
        <w:color w:val="808080"/>
        <w:sz w:val="15"/>
        <w:szCs w:val="15"/>
      </w:rPr>
      <w:t xml:space="preserve">Campus Universitari UAB - Plaça </w:t>
    </w:r>
    <w:r w:rsidR="00B306CD">
      <w:rPr>
        <w:rFonts w:ascii="Bookman Old Style" w:hAnsi="Bookman Old Style"/>
        <w:noProof/>
        <w:color w:val="808080"/>
        <w:sz w:val="15"/>
        <w:szCs w:val="15"/>
      </w:rPr>
      <w:t>del Coneixement</w:t>
    </w:r>
    <w:r w:rsidRPr="00483B03">
      <w:rPr>
        <w:rFonts w:ascii="Bookman Old Style" w:hAnsi="Bookman Old Style"/>
        <w:noProof/>
        <w:color w:val="808080"/>
        <w:sz w:val="15"/>
        <w:szCs w:val="15"/>
      </w:rPr>
      <w:t>, Edifici MRA, 2a. Planta</w:t>
    </w:r>
    <w:r w:rsidRPr="00483B03">
      <w:rPr>
        <w:noProof/>
        <w:color w:val="808080"/>
      </w:rPr>
      <w:t xml:space="preserve"> / </w:t>
    </w:r>
    <w:r w:rsidRPr="00483B03">
      <w:rPr>
        <w:rFonts w:ascii="Bookman Old Style" w:hAnsi="Bookman Old Style"/>
        <w:noProof/>
        <w:color w:val="808080"/>
        <w:sz w:val="15"/>
        <w:szCs w:val="15"/>
      </w:rPr>
      <w:t xml:space="preserve">08193 </w:t>
    </w:r>
    <w:r>
      <w:rPr>
        <w:rFonts w:ascii="Bookman Old Style" w:hAnsi="Bookman Old Style"/>
        <w:noProof/>
        <w:color w:val="808080"/>
        <w:sz w:val="15"/>
        <w:szCs w:val="15"/>
      </w:rPr>
      <w:t>Bellaterra -</w:t>
    </w:r>
    <w:r w:rsidRPr="00483B03">
      <w:rPr>
        <w:rFonts w:ascii="Bookman Old Style" w:hAnsi="Bookman Old Style"/>
        <w:noProof/>
        <w:color w:val="808080"/>
        <w:sz w:val="15"/>
        <w:szCs w:val="15"/>
      </w:rPr>
      <w:t xml:space="preserve">Cerdanyola del Vallès </w:t>
    </w:r>
  </w:p>
  <w:p w14:paraId="34D9408A" w14:textId="77777777" w:rsidR="000D4C16" w:rsidRPr="00483B03" w:rsidRDefault="000D4C16" w:rsidP="000D4C16">
    <w:pPr>
      <w:spacing w:after="0" w:line="240" w:lineRule="auto"/>
      <w:jc w:val="center"/>
      <w:rPr>
        <w:noProof/>
        <w:color w:val="808080"/>
      </w:rPr>
    </w:pPr>
    <w:r w:rsidRPr="00483B03">
      <w:rPr>
        <w:rFonts w:ascii="Bookman Old Style" w:hAnsi="Bookman Old Style"/>
        <w:noProof/>
        <w:color w:val="808080"/>
        <w:sz w:val="15"/>
        <w:szCs w:val="15"/>
      </w:rPr>
      <w:t xml:space="preserve">Telf: 93 586 88 </w:t>
    </w:r>
    <w:r>
      <w:rPr>
        <w:rFonts w:ascii="Bookman Old Style" w:hAnsi="Bookman Old Style"/>
        <w:noProof/>
        <w:color w:val="808080"/>
        <w:sz w:val="15"/>
        <w:szCs w:val="15"/>
      </w:rPr>
      <w:t>8</w:t>
    </w:r>
    <w:r w:rsidRPr="00483B03">
      <w:rPr>
        <w:rFonts w:ascii="Bookman Old Style" w:hAnsi="Bookman Old Style"/>
        <w:noProof/>
        <w:color w:val="808080"/>
        <w:sz w:val="15"/>
        <w:szCs w:val="15"/>
      </w:rPr>
      <w:t>0 / Fax: 93 581 44 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981" w14:textId="77777777" w:rsidR="005D3D45" w:rsidRDefault="005D3D4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33E4" w14:textId="77777777" w:rsidR="00641FCC" w:rsidRDefault="00641FCC" w:rsidP="000D4C16">
      <w:pPr>
        <w:spacing w:after="0" w:line="240" w:lineRule="auto"/>
      </w:pPr>
      <w:r>
        <w:separator/>
      </w:r>
    </w:p>
  </w:footnote>
  <w:footnote w:type="continuationSeparator" w:id="0">
    <w:p w14:paraId="44B4006D" w14:textId="77777777" w:rsidR="00641FCC" w:rsidRDefault="00641FCC" w:rsidP="000D4C16">
      <w:pPr>
        <w:spacing w:after="0" w:line="240" w:lineRule="auto"/>
      </w:pPr>
      <w:r>
        <w:continuationSeparator/>
      </w:r>
    </w:p>
  </w:footnote>
  <w:footnote w:type="continuationNotice" w:id="1">
    <w:p w14:paraId="3FB6DFB4" w14:textId="77777777" w:rsidR="005D3D45" w:rsidRDefault="005D3D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CE16" w14:textId="77777777" w:rsidR="005D3D45" w:rsidRDefault="005D3D4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4087" w14:textId="77777777" w:rsidR="000D4C16" w:rsidRDefault="00B70FD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34D9408B" wp14:editId="34D9408C">
          <wp:simplePos x="0" y="0"/>
          <wp:positionH relativeFrom="column">
            <wp:posOffset>2301875</wp:posOffset>
          </wp:positionH>
          <wp:positionV relativeFrom="paragraph">
            <wp:posOffset>7620</wp:posOffset>
          </wp:positionV>
          <wp:extent cx="1200150" cy="635000"/>
          <wp:effectExtent l="19050" t="0" r="0" b="0"/>
          <wp:wrapSquare wrapText="bothSides"/>
          <wp:docPr id="1" name="Imagen 2" descr="Logo IER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ER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73E7" w14:textId="77777777" w:rsidR="005D3D45" w:rsidRDefault="005D3D4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E06"/>
    <w:rsid w:val="0001389A"/>
    <w:rsid w:val="000D4C16"/>
    <w:rsid w:val="001223DE"/>
    <w:rsid w:val="001306D6"/>
    <w:rsid w:val="00141F4D"/>
    <w:rsid w:val="0016004A"/>
    <w:rsid w:val="00161754"/>
    <w:rsid w:val="00185F0A"/>
    <w:rsid w:val="001911E3"/>
    <w:rsid w:val="001B27DD"/>
    <w:rsid w:val="001B5D5F"/>
    <w:rsid w:val="001C64D8"/>
    <w:rsid w:val="001E5C65"/>
    <w:rsid w:val="001F513C"/>
    <w:rsid w:val="00242A66"/>
    <w:rsid w:val="0026776D"/>
    <w:rsid w:val="00267C7E"/>
    <w:rsid w:val="002A42BC"/>
    <w:rsid w:val="0034019C"/>
    <w:rsid w:val="00360EB3"/>
    <w:rsid w:val="003C54EA"/>
    <w:rsid w:val="003F6403"/>
    <w:rsid w:val="004021F9"/>
    <w:rsid w:val="00413AA1"/>
    <w:rsid w:val="00430051"/>
    <w:rsid w:val="0043544B"/>
    <w:rsid w:val="004A4558"/>
    <w:rsid w:val="00515FAD"/>
    <w:rsid w:val="00530516"/>
    <w:rsid w:val="005360BF"/>
    <w:rsid w:val="00564438"/>
    <w:rsid w:val="005915ED"/>
    <w:rsid w:val="005B3015"/>
    <w:rsid w:val="005D3D45"/>
    <w:rsid w:val="005E3461"/>
    <w:rsid w:val="005F65EC"/>
    <w:rsid w:val="00641FCC"/>
    <w:rsid w:val="00656BF4"/>
    <w:rsid w:val="00673FC3"/>
    <w:rsid w:val="006B47AD"/>
    <w:rsid w:val="006F0A9D"/>
    <w:rsid w:val="006F2B33"/>
    <w:rsid w:val="00753497"/>
    <w:rsid w:val="007568E3"/>
    <w:rsid w:val="00777E8F"/>
    <w:rsid w:val="00781947"/>
    <w:rsid w:val="007826F3"/>
    <w:rsid w:val="008051D7"/>
    <w:rsid w:val="008258A4"/>
    <w:rsid w:val="00832553"/>
    <w:rsid w:val="00833C2D"/>
    <w:rsid w:val="00911A75"/>
    <w:rsid w:val="009134A8"/>
    <w:rsid w:val="009411E1"/>
    <w:rsid w:val="00953ADB"/>
    <w:rsid w:val="00995202"/>
    <w:rsid w:val="009A191E"/>
    <w:rsid w:val="009A1A60"/>
    <w:rsid w:val="009A2DA4"/>
    <w:rsid w:val="009A7EC9"/>
    <w:rsid w:val="009C7BD7"/>
    <w:rsid w:val="009D6044"/>
    <w:rsid w:val="009E1709"/>
    <w:rsid w:val="00A0567A"/>
    <w:rsid w:val="00A21A87"/>
    <w:rsid w:val="00A71D8F"/>
    <w:rsid w:val="00A9013C"/>
    <w:rsid w:val="00AA5645"/>
    <w:rsid w:val="00AC4E34"/>
    <w:rsid w:val="00AD2586"/>
    <w:rsid w:val="00AF6A96"/>
    <w:rsid w:val="00B06E06"/>
    <w:rsid w:val="00B306CD"/>
    <w:rsid w:val="00B65D14"/>
    <w:rsid w:val="00B70FDE"/>
    <w:rsid w:val="00B8709D"/>
    <w:rsid w:val="00BA0957"/>
    <w:rsid w:val="00BA229C"/>
    <w:rsid w:val="00BE75F8"/>
    <w:rsid w:val="00BF6A5B"/>
    <w:rsid w:val="00C2527B"/>
    <w:rsid w:val="00C51B3B"/>
    <w:rsid w:val="00C543F2"/>
    <w:rsid w:val="00C64327"/>
    <w:rsid w:val="00C75987"/>
    <w:rsid w:val="00C77562"/>
    <w:rsid w:val="00CF4143"/>
    <w:rsid w:val="00D025E1"/>
    <w:rsid w:val="00D15E54"/>
    <w:rsid w:val="00D30700"/>
    <w:rsid w:val="00D333B5"/>
    <w:rsid w:val="00D61017"/>
    <w:rsid w:val="00D8598A"/>
    <w:rsid w:val="00D910F0"/>
    <w:rsid w:val="00DA3661"/>
    <w:rsid w:val="00DC2CDD"/>
    <w:rsid w:val="00DC3B67"/>
    <w:rsid w:val="00E00AAD"/>
    <w:rsid w:val="00E35B53"/>
    <w:rsid w:val="00E4756E"/>
    <w:rsid w:val="00E60677"/>
    <w:rsid w:val="00EC5988"/>
    <w:rsid w:val="00ED1DFA"/>
    <w:rsid w:val="00EE652E"/>
    <w:rsid w:val="00EE7A3D"/>
    <w:rsid w:val="00EF6A59"/>
    <w:rsid w:val="00F03690"/>
    <w:rsid w:val="00F13077"/>
    <w:rsid w:val="00F24AD7"/>
    <w:rsid w:val="00F418FA"/>
    <w:rsid w:val="00F67433"/>
    <w:rsid w:val="00F964A3"/>
    <w:rsid w:val="00FA25BA"/>
    <w:rsid w:val="00FA7B04"/>
    <w:rsid w:val="00FE1D05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9401D"/>
  <w15:docId w15:val="{9A219787-AB8F-441D-BB76-074DBE9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66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D4C1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D4C16"/>
    <w:rPr>
      <w:sz w:val="22"/>
      <w:szCs w:val="22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0D4C1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D4C16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B70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D3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">
    <w:name w:val="Revision"/>
    <w:hidden/>
    <w:uiPriority w:val="99"/>
    <w:semiHidden/>
    <w:rsid w:val="009411E1"/>
    <w:rPr>
      <w:sz w:val="22"/>
      <w:szCs w:val="22"/>
      <w:lang w:val="es-ES" w:eastAsia="en-US"/>
    </w:rPr>
  </w:style>
  <w:style w:type="character" w:styleId="Textennegreta">
    <w:name w:val="Strong"/>
    <w:basedOn w:val="Lletraperdefectedelpargraf"/>
    <w:uiPriority w:val="22"/>
    <w:qFormat/>
    <w:locked/>
    <w:rsid w:val="00EE6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7" ma:contentTypeDescription="Crea un document nou" ma:contentTypeScope="" ma:versionID="f6b92cb69c1385554611e5714ab90fa8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838d5588429108ece8d3d3f0cef48d08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e3a3b-e8e0-4c60-85a0-914a76045c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E9A30-943D-4E1A-BD87-266F6D8E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3DCDE-2CAE-43EB-B276-B2DC8DBB0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00C4F-46B9-492F-A398-529DB299A325}">
  <ds:schemaRefs>
    <ds:schemaRef ds:uri="http://schemas.microsoft.com/office/2006/metadata/properties"/>
    <ds:schemaRef ds:uri="http://schemas.microsoft.com/office/infopath/2007/PartnerControls"/>
    <ds:schemaRef ds:uri="8bbe3a3b-e8e0-4c60-85a0-914a76045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IERMB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Romero Valle</dc:creator>
  <cp:lastModifiedBy>María Reyes Ramírez Gómez</cp:lastModifiedBy>
  <cp:revision>55</cp:revision>
  <cp:lastPrinted>2011-04-11T10:30:00Z</cp:lastPrinted>
  <dcterms:created xsi:type="dcterms:W3CDTF">2016-03-03T16:36:00Z</dcterms:created>
  <dcterms:modified xsi:type="dcterms:W3CDTF">2024-01-24T12:41:00Z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  <property fmtid="{D5CDD505-2E9C-101B-9397-08002B2CF9AE}" pid="3" name="MediaServiceImageTags">
    <vt:lpwstr/>
  </property>
</Properties>
</file>